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CF2088">
        <w:t>17</w:t>
      </w:r>
      <w:r>
        <w:t xml:space="preserve"> г. по 31 декабря 20</w:t>
      </w:r>
      <w:r w:rsidR="00CF2088">
        <w:t>17</w:t>
      </w:r>
      <w:bookmarkStart w:id="0" w:name="_GoBack"/>
      <w:bookmarkEnd w:id="0"/>
      <w:r w:rsidR="00FF45BE">
        <w:t xml:space="preserve"> </w:t>
      </w:r>
      <w:r>
        <w:t>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05044C" w:rsidRDefault="0005044C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Шерифалиева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Заида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Наврузалиевна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05044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7C20EE" w:rsidRDefault="007C20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Default="007C20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  <w:r>
              <w:rPr>
                <w:sz w:val="18"/>
                <w:szCs w:val="18"/>
              </w:rPr>
              <w:lastRenderedPageBreak/>
              <w:t>безвозмездное пользование без срока</w:t>
            </w:r>
          </w:p>
          <w:p w:rsidR="007C20EE" w:rsidRDefault="007C20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регистрации </w:t>
            </w:r>
            <w:proofErr w:type="gramStart"/>
            <w:r>
              <w:rPr>
                <w:sz w:val="18"/>
                <w:szCs w:val="18"/>
              </w:rPr>
              <w:t>права  Кадастровый</w:t>
            </w:r>
            <w:proofErr w:type="gramEnd"/>
            <w:r>
              <w:rPr>
                <w:sz w:val="18"/>
                <w:szCs w:val="18"/>
              </w:rPr>
              <w:t xml:space="preserve"> номер </w:t>
            </w:r>
          </w:p>
          <w:p w:rsidR="007C20EE" w:rsidRPr="003A4FB6" w:rsidRDefault="007C20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05:40:000062:7729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Default="007C20EE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12,8кв.м.</w:t>
            </w:r>
            <w:proofErr w:type="gramEnd"/>
          </w:p>
          <w:p w:rsidR="007C20EE" w:rsidRPr="003A4FB6" w:rsidRDefault="007C20EE" w:rsidP="007C20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г.Махачкала, </w:t>
            </w:r>
            <w:r>
              <w:rPr>
                <w:sz w:val="18"/>
                <w:szCs w:val="18"/>
              </w:rPr>
              <w:lastRenderedPageBreak/>
              <w:t>ул.Гагарина д.</w:t>
            </w:r>
            <w:proofErr w:type="gramStart"/>
            <w:r>
              <w:rPr>
                <w:sz w:val="18"/>
                <w:szCs w:val="18"/>
              </w:rPr>
              <w:t>48,кв.</w:t>
            </w:r>
            <w:proofErr w:type="gramEnd"/>
            <w:r>
              <w:rPr>
                <w:sz w:val="18"/>
                <w:szCs w:val="18"/>
              </w:rPr>
              <w:t>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05044C" w:rsidRDefault="00511802" w:rsidP="0005044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546 505</w:t>
            </w:r>
            <w:r w:rsidR="0005044C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43D8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AB0E7C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  <w:p w:rsidR="00D239E6" w:rsidRDefault="00D239E6" w:rsidP="00D239E6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Шерифалиев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Наврузали</w:t>
            </w:r>
            <w:proofErr w:type="spellEnd"/>
          </w:p>
          <w:p w:rsidR="00D239E6" w:rsidRPr="00AB0E7C" w:rsidRDefault="00D239E6" w:rsidP="00D239E6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Мирзебалаевич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AB0E7C" w:rsidRDefault="00B43D8D" w:rsidP="00D239E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11802">
              <w:rPr>
                <w:sz w:val="18"/>
                <w:szCs w:val="18"/>
              </w:rPr>
              <w:t>Ученик 5</w:t>
            </w:r>
            <w:r w:rsidR="00AB0E7C">
              <w:rPr>
                <w:sz w:val="18"/>
                <w:szCs w:val="18"/>
              </w:rPr>
              <w:t>-го класса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51180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191 164,31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115B"/>
    <w:rsid w:val="0005044C"/>
    <w:rsid w:val="000973AD"/>
    <w:rsid w:val="00105084"/>
    <w:rsid w:val="0022690E"/>
    <w:rsid w:val="003A4FB6"/>
    <w:rsid w:val="00403D2C"/>
    <w:rsid w:val="00492814"/>
    <w:rsid w:val="00511802"/>
    <w:rsid w:val="005732A7"/>
    <w:rsid w:val="0061272B"/>
    <w:rsid w:val="00750FDF"/>
    <w:rsid w:val="007C20EE"/>
    <w:rsid w:val="0087424B"/>
    <w:rsid w:val="009A0175"/>
    <w:rsid w:val="00AB0E7C"/>
    <w:rsid w:val="00B108C8"/>
    <w:rsid w:val="00B43D8D"/>
    <w:rsid w:val="00B75F1D"/>
    <w:rsid w:val="00CF2088"/>
    <w:rsid w:val="00D239E6"/>
    <w:rsid w:val="00DA29AD"/>
    <w:rsid w:val="00F9115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EFD8D-C18F-4DDA-969F-B5F66C3B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Магомедов</dc:creator>
  <cp:lastModifiedBy>Адам</cp:lastModifiedBy>
  <cp:revision>4</cp:revision>
  <dcterms:created xsi:type="dcterms:W3CDTF">2018-01-13T12:43:00Z</dcterms:created>
  <dcterms:modified xsi:type="dcterms:W3CDTF">2018-04-20T18:08:00Z</dcterms:modified>
</cp:coreProperties>
</file>